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D1" w:rsidRDefault="00FE3FB1" w:rsidP="00FE3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FE3FB1" w:rsidRDefault="002E36BF" w:rsidP="00FE3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E3FB1">
        <w:rPr>
          <w:rFonts w:ascii="Times New Roman" w:hAnsi="Times New Roman" w:cs="Times New Roman"/>
          <w:sz w:val="24"/>
          <w:szCs w:val="24"/>
        </w:rPr>
        <w:t>ополнительной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</w:t>
      </w:r>
      <w:bookmarkStart w:id="0" w:name="_GoBack"/>
      <w:bookmarkEnd w:id="0"/>
      <w:r w:rsidR="00FE3FB1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FE3FB1" w:rsidTr="00A84782">
        <w:tc>
          <w:tcPr>
            <w:tcW w:w="3115" w:type="dxa"/>
          </w:tcPr>
          <w:p w:rsidR="00FE3FB1" w:rsidRDefault="00FE3FB1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ДОП</w:t>
            </w:r>
          </w:p>
        </w:tc>
        <w:tc>
          <w:tcPr>
            <w:tcW w:w="6230" w:type="dxa"/>
          </w:tcPr>
          <w:p w:rsidR="00FE3FB1" w:rsidRDefault="00FE3FB1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рукоделия»</w:t>
            </w:r>
          </w:p>
        </w:tc>
      </w:tr>
      <w:tr w:rsidR="00B7779C" w:rsidTr="00A84782">
        <w:tc>
          <w:tcPr>
            <w:tcW w:w="3115" w:type="dxa"/>
            <w:vMerge w:val="restart"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58"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 Муравчук Зоя Михайловна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 Муниципальное бюджетное учреждение дополнительного образования Дом детского творчества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58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</w:t>
            </w:r>
            <w:proofErr w:type="gramStart"/>
            <w:r w:rsidRPr="0050525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05258" w:rsidRPr="00505258">
              <w:rPr>
                <w:rFonts w:ascii="Times New Roman" w:hAnsi="Times New Roman" w:cs="Times New Roman"/>
                <w:sz w:val="24"/>
                <w:szCs w:val="24"/>
              </w:rPr>
              <w:t xml:space="preserve"> г. Белая Калитва, ул. Калинина, 21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автора: Ростовская обл., Белокалитвинский р-н, ст. Краснодонецкая, пер. Тихий д.8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служебный: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мобильный: 8-960-465-06-56</w:t>
            </w:r>
          </w:p>
        </w:tc>
      </w:tr>
      <w:tr w:rsidR="00B7779C" w:rsidTr="00A84782">
        <w:tc>
          <w:tcPr>
            <w:tcW w:w="3115" w:type="dxa"/>
            <w:vMerge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 Педагог дополнительного образования</w:t>
            </w:r>
          </w:p>
        </w:tc>
      </w:tr>
      <w:tr w:rsidR="00B7779C" w:rsidTr="00A84782">
        <w:tc>
          <w:tcPr>
            <w:tcW w:w="3115" w:type="dxa"/>
          </w:tcPr>
          <w:p w:rsidR="00B7779C" w:rsidRPr="0050525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5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авторских образовательных программ и программно-методических комплексов/ результат</w:t>
            </w:r>
          </w:p>
        </w:tc>
        <w:tc>
          <w:tcPr>
            <w:tcW w:w="6230" w:type="dxa"/>
          </w:tcPr>
          <w:p w:rsidR="00B7779C" w:rsidRDefault="00505258" w:rsidP="0050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779C" w:rsidTr="00A84782">
        <w:tc>
          <w:tcPr>
            <w:tcW w:w="3115" w:type="dxa"/>
          </w:tcPr>
          <w:p w:rsidR="00B7779C" w:rsidRPr="001C5E7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E78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230" w:type="dxa"/>
          </w:tcPr>
          <w:p w:rsidR="00E95BBC" w:rsidRDefault="00E95BBC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№273-ФЗ «Об образовании в РФ», </w:t>
            </w:r>
          </w:p>
          <w:p w:rsidR="00E95BBC" w:rsidRDefault="00E95BBC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-Концепция 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дополнительного образования детей (Распоряжение Правительства РФ от 04.09.2014 №1726-р), </w:t>
            </w:r>
          </w:p>
          <w:p w:rsidR="00E95BBC" w:rsidRDefault="00E95BBC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04.07.2014 №47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32E9C" w:rsidRDefault="00E95BBC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="00505258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</w:t>
            </w:r>
            <w:r w:rsidR="00505258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0525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      </w:r>
          </w:p>
          <w:p w:rsidR="000E1088" w:rsidRDefault="00432E9C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258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«Конвенция о правах ребенка» от 20.11.1989г., </w:t>
            </w:r>
            <w:r w:rsidR="000E10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5258" w:rsidRPr="000B3EFF">
              <w:rPr>
                <w:rFonts w:ascii="Times New Roman" w:hAnsi="Times New Roman" w:cs="Times New Roman"/>
                <w:sz w:val="24"/>
                <w:szCs w:val="24"/>
              </w:rPr>
              <w:t>«Концепция духовно-нравственного развития и воспитания личности гражданина России» Москва Просвещение 2011г. А.Я. Данилюк, А.М. Кондаков, В.А.</w:t>
            </w:r>
            <w:r w:rsidR="00505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258">
              <w:rPr>
                <w:rFonts w:ascii="Times New Roman" w:hAnsi="Times New Roman" w:cs="Times New Roman"/>
                <w:sz w:val="24"/>
                <w:szCs w:val="24"/>
              </w:rPr>
              <w:t>Тяжков</w:t>
            </w:r>
            <w:proofErr w:type="spellEnd"/>
            <w:r w:rsidR="00505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779C" w:rsidRPr="000B3EFF" w:rsidRDefault="000E1088" w:rsidP="00F5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proofErr w:type="spellStart"/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0B3EFF" w:rsidRPr="000B3EFF">
              <w:rPr>
                <w:rFonts w:ascii="Times New Roman" w:hAnsi="Times New Roman" w:cs="Times New Roman"/>
                <w:sz w:val="24"/>
                <w:szCs w:val="24"/>
              </w:rPr>
              <w:t xml:space="preserve"> РФ по проектированию дополнительных общеобразовательных программ (включая разноуровневые програм</w:t>
            </w:r>
            <w:r w:rsidR="00505258">
              <w:rPr>
                <w:rFonts w:ascii="Times New Roman" w:hAnsi="Times New Roman" w:cs="Times New Roman"/>
                <w:sz w:val="24"/>
                <w:szCs w:val="24"/>
              </w:rPr>
              <w:t>мы) от 18.11.2015г. (№09-3242).</w:t>
            </w:r>
          </w:p>
        </w:tc>
      </w:tr>
      <w:tr w:rsidR="00B7779C" w:rsidTr="00A84782">
        <w:tc>
          <w:tcPr>
            <w:tcW w:w="3115" w:type="dxa"/>
          </w:tcPr>
          <w:p w:rsidR="00B7779C" w:rsidRPr="00FC3F6D" w:rsidRDefault="00B7779C" w:rsidP="00FE3F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18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база.</w:t>
            </w:r>
          </w:p>
        </w:tc>
        <w:tc>
          <w:tcPr>
            <w:tcW w:w="6230" w:type="dxa"/>
          </w:tcPr>
          <w:p w:rsidR="00B7779C" w:rsidRDefault="00D23A02" w:rsidP="00D2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1B">
              <w:rPr>
                <w:rFonts w:ascii="Times New Roman" w:hAnsi="Times New Roman" w:cs="Times New Roman"/>
                <w:sz w:val="24"/>
                <w:szCs w:val="24"/>
              </w:rPr>
              <w:t>Занятия проходят в кабинете, оснащенном интерактивной доской, компьютером</w:t>
            </w:r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 для просмотра презентаций, </w:t>
            </w:r>
            <w:r w:rsidRPr="00C37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агнитофон</w:t>
            </w:r>
            <w:r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ом, шкафами для хранения литературы и выставки работ, доской, столами и стульями. На стенах расположены информационные стенды «Уголок д/о «Мир рукоделия»», «Уголок по ТБ», выставочный стенд. Питьевой режим осуществляется посредством бутилированной воды  с использованием одноразовых </w:t>
            </w:r>
            <w:r w:rsidRPr="00C37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пластиковых стаканчиков. </w:t>
            </w:r>
            <w:proofErr w:type="gramStart"/>
            <w:r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программы необходимы следующие материалы: </w:t>
            </w:r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доски для пластилина, салфетки, стека, бумага офисная цветная марки «Color», бумага офисная белая, бумага цветная, </w:t>
            </w:r>
            <w:proofErr w:type="spellStart"/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гофробумага</w:t>
            </w:r>
            <w:proofErr w:type="spellEnd"/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, калька, картон цветной, </w:t>
            </w:r>
            <w:proofErr w:type="spellStart"/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гофрокартон</w:t>
            </w:r>
            <w:proofErr w:type="spellEnd"/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, картон белый большой, цветные блоки для записей (форма квадрат), карандаши, краски, фломастеры, клей ПВА, клей Момент, клей-карандаш, проволока медная диаметром 2-</w:t>
            </w:r>
            <w:smartTag w:uri="urn:schemas-microsoft-com:office:smarttags" w:element="metricconverter">
              <w:smartTagPr>
                <w:attr w:name="ProductID" w:val="5 мм"/>
              </w:smartTagPr>
              <w:r w:rsidR="0009188E" w:rsidRPr="00C3751B">
                <w:rPr>
                  <w:rFonts w:ascii="Times New Roman" w:hAnsi="Times New Roman" w:cs="Times New Roman"/>
                  <w:sz w:val="24"/>
                  <w:szCs w:val="24"/>
                </w:rPr>
                <w:t>5 мм</w:t>
              </w:r>
            </w:smartTag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5 мм"/>
              </w:smartTagPr>
              <w:r w:rsidR="0009188E" w:rsidRPr="00C3751B">
                <w:rPr>
                  <w:rFonts w:ascii="Times New Roman" w:hAnsi="Times New Roman" w:cs="Times New Roman"/>
                  <w:sz w:val="24"/>
                  <w:szCs w:val="24"/>
                </w:rPr>
                <w:t>0,5 мм</w:t>
              </w:r>
            </w:smartTag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, капроновые нитки, ножницы, кусачки, иглы длинные, бисер №6</w:t>
            </w:r>
            <w:proofErr w:type="gramEnd"/>
            <w:r w:rsidR="0009188E" w:rsidRPr="00C3751B">
              <w:rPr>
                <w:rFonts w:ascii="Times New Roman" w:hAnsi="Times New Roman" w:cs="Times New Roman"/>
                <w:sz w:val="24"/>
                <w:szCs w:val="24"/>
              </w:rPr>
              <w:t>, №8, №12, ленты атласные, шелковые, разнообразные ткани, специализированные иглы для вышивки лентами, наперстки, пяльцы.</w:t>
            </w:r>
            <w:r w:rsidR="00C3751B" w:rsidRPr="00C375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</w:t>
            </w:r>
            <w:r w:rsidR="00C3751B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технологические карты, макеты работ.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разработки, редактирования</w:t>
            </w:r>
          </w:p>
        </w:tc>
        <w:tc>
          <w:tcPr>
            <w:tcW w:w="6230" w:type="dxa"/>
          </w:tcPr>
          <w:p w:rsidR="00B7779C" w:rsidRDefault="00FC3F6D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2018г.</w:t>
            </w:r>
          </w:p>
          <w:p w:rsidR="00FC3F6D" w:rsidRDefault="00FC3F6D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Редактирована</w:t>
            </w:r>
            <w:proofErr w:type="gramEnd"/>
            <w:r w:rsidR="00C5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</w:t>
            </w:r>
            <w:r w:rsidR="00842235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изменением нормативно-правовой базы</w:t>
            </w:r>
          </w:p>
        </w:tc>
      </w:tr>
      <w:tr w:rsidR="00B7779C" w:rsidTr="00A84782">
        <w:tc>
          <w:tcPr>
            <w:tcW w:w="3115" w:type="dxa"/>
          </w:tcPr>
          <w:p w:rsidR="00B7779C" w:rsidRPr="001C5E7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188E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230" w:type="dxa"/>
          </w:tcPr>
          <w:p w:rsidR="00B7779C" w:rsidRDefault="0009188E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779C" w:rsidTr="00A84782">
        <w:tc>
          <w:tcPr>
            <w:tcW w:w="3115" w:type="dxa"/>
          </w:tcPr>
          <w:p w:rsidR="00B7779C" w:rsidRPr="001C5E78" w:rsidRDefault="00B7779C" w:rsidP="00FE3F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5E78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230" w:type="dxa"/>
          </w:tcPr>
          <w:p w:rsidR="00B7779C" w:rsidRDefault="00034834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230" w:type="dxa"/>
          </w:tcPr>
          <w:p w:rsidR="00B7779C" w:rsidRDefault="00034834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6230" w:type="dxa"/>
          </w:tcPr>
          <w:p w:rsidR="00B7779C" w:rsidRDefault="00454530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230" w:type="dxa"/>
          </w:tcPr>
          <w:p w:rsidR="00B7779C" w:rsidRDefault="00454530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6230" w:type="dxa"/>
          </w:tcPr>
          <w:p w:rsidR="00B7779C" w:rsidRDefault="00A84782" w:rsidP="00A8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A84782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дифференцировано по уровням сложности: ознакомительный (первый год обучения), базовый (второй-третий годы обучения), углубленный (четвертый год обучения).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6230" w:type="dxa"/>
          </w:tcPr>
          <w:p w:rsidR="00A84782" w:rsidRPr="00A84782" w:rsidRDefault="00A84782" w:rsidP="00A8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Предварительная подготовка детей к занятиям не имеет значения, и в одной группе могут обучаться разновозрастные дети.</w:t>
            </w:r>
          </w:p>
          <w:p w:rsidR="00A84782" w:rsidRPr="00A84782" w:rsidRDefault="00A84782" w:rsidP="00A8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Подобран и разработан комплект дидактических материалов для изготовления изделий с учетом возрастных особенностей детей.</w:t>
            </w:r>
          </w:p>
          <w:p w:rsidR="00A84782" w:rsidRPr="00A84782" w:rsidRDefault="00A84782" w:rsidP="00A8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 xml:space="preserve">Каждый год </w:t>
            </w:r>
            <w:proofErr w:type="gramStart"/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A84782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 на четыре блока занятий, с упором на казачество.</w:t>
            </w:r>
          </w:p>
          <w:p w:rsidR="00B7779C" w:rsidRDefault="00A84782" w:rsidP="00A7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В рамках программы предусмотрена реализация проектной деятельности.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6230" w:type="dxa"/>
          </w:tcPr>
          <w:p w:rsidR="00B7779C" w:rsidRDefault="00A84782" w:rsidP="00A8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8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весьма актуальна, поскольку направлена на развитие и воспитание духовно-нравственной личности посредством декоративно-прикладного творчества и в соответствии с Концепцией развития дополнительного образования РФ, направленной на «привлечение 70-75% детей в возрасте от пяти до 18 лет».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230" w:type="dxa"/>
          </w:tcPr>
          <w:p w:rsidR="00B7779C" w:rsidRDefault="00AA6CFC" w:rsidP="00AA6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 и </w:t>
            </w:r>
            <w:proofErr w:type="gramStart"/>
            <w:r w:rsidRPr="00AA6CF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gramEnd"/>
            <w:r w:rsidRPr="00AA6C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через увлечение прикладными видами искусства; создание условия для духовно-нравственного воспитания и развития обучающихся посредством приобщения их к изучению родного края.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230" w:type="dxa"/>
          </w:tcPr>
          <w:p w:rsidR="00AA6CFC" w:rsidRPr="00AA6CFC" w:rsidRDefault="00AA6CFC" w:rsidP="00AA6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F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основные трудовые навыки и приемы, применяемые в декоративно-прикладном искусстве;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правила проектирования и изготовления изделий </w:t>
            </w: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декоративно-прикладного искусства.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правила культуры общения и поведения в социуме;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основы русской культуры, культуры своей малой Родины – Донского края.</w:t>
            </w:r>
          </w:p>
          <w:p w:rsidR="00AA6CFC" w:rsidRPr="00AA6CFC" w:rsidRDefault="00AA6CFC" w:rsidP="00AA6CFC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CFC" w:rsidRPr="00AA6CFC" w:rsidRDefault="00AA6CFC" w:rsidP="00AA6CFC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CF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применять на практике трудовые навыки и приемы, применяемые в декоративно-прикладном искусстве;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проектировать и изготовлять изделия декоративно-прикладного искусства.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проявлять интерес к избранному делу и стремиться к освоению мастерства;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проявлять любознательность и интерес к познавательной и продуктивной деятельности.</w:t>
            </w:r>
          </w:p>
          <w:p w:rsidR="00AA6CF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уметь вежливо общаться и применять на практике правила поведения в социуме;</w:t>
            </w:r>
          </w:p>
          <w:p w:rsidR="00B7779C" w:rsidRPr="00AA6CFC" w:rsidRDefault="00AA6CFC" w:rsidP="00AA6C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" w:firstLine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A6CFC">
              <w:rPr>
                <w:rFonts w:eastAsiaTheme="minorHAnsi" w:cs="Times New Roman"/>
                <w:sz w:val="24"/>
                <w:szCs w:val="24"/>
                <w:lang w:eastAsia="en-US"/>
              </w:rPr>
              <w:t>бережно относиться к русской культуре, к культуре и природе своей малой Родины – Донского края.</w:t>
            </w:r>
          </w:p>
        </w:tc>
      </w:tr>
      <w:tr w:rsidR="00B7779C" w:rsidTr="00A84782">
        <w:tc>
          <w:tcPr>
            <w:tcW w:w="3115" w:type="dxa"/>
          </w:tcPr>
          <w:p w:rsidR="00B7779C" w:rsidRP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занятий (фронтальные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кол-во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индивидуальные)</w:t>
            </w:r>
          </w:p>
        </w:tc>
        <w:tc>
          <w:tcPr>
            <w:tcW w:w="6230" w:type="dxa"/>
          </w:tcPr>
          <w:p w:rsidR="00FE2D47" w:rsidRDefault="00413367" w:rsidP="004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(12-15 чел.);</w:t>
            </w:r>
          </w:p>
          <w:p w:rsidR="00413367" w:rsidRDefault="00413367" w:rsidP="004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 (6-8 чел.)</w:t>
            </w:r>
          </w:p>
          <w:p w:rsidR="00462D7B" w:rsidRDefault="00462D7B" w:rsidP="004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6230" w:type="dxa"/>
          </w:tcPr>
          <w:p w:rsidR="00B7779C" w:rsidRDefault="00FE2D47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обучения – 2 раза в неделю по 1 часу, что составляет 72 часа в год.</w:t>
            </w:r>
          </w:p>
          <w:p w:rsidR="00FE2D47" w:rsidRDefault="00FE2D47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обучения – 4 часа в неделю, что составляет 144 часа в год;</w:t>
            </w:r>
          </w:p>
          <w:p w:rsidR="00FE2D47" w:rsidRDefault="00FE2D47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год обучения – 4 часа в неделю, что составляет 144 часа в год;</w:t>
            </w:r>
          </w:p>
          <w:p w:rsidR="00FE2D47" w:rsidRDefault="00FE2D47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год обучения – 4 часа в неделю, что составляет 144 часа в год;</w:t>
            </w:r>
          </w:p>
        </w:tc>
      </w:tr>
      <w:tr w:rsidR="00B7779C" w:rsidTr="00A84782">
        <w:tc>
          <w:tcPr>
            <w:tcW w:w="3115" w:type="dxa"/>
          </w:tcPr>
          <w:p w:rsidR="00B7779C" w:rsidRDefault="00B7779C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подведение итогов</w:t>
            </w:r>
          </w:p>
        </w:tc>
        <w:tc>
          <w:tcPr>
            <w:tcW w:w="6230" w:type="dxa"/>
          </w:tcPr>
          <w:p w:rsidR="00B7779C" w:rsidRDefault="00181169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выставки;</w:t>
            </w:r>
          </w:p>
          <w:p w:rsidR="00181169" w:rsidRDefault="00181169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-защита творческих проектов;</w:t>
            </w:r>
          </w:p>
          <w:p w:rsidR="00181169" w:rsidRDefault="00181169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конкурсы.</w:t>
            </w:r>
          </w:p>
          <w:p w:rsidR="00181169" w:rsidRDefault="00181169" w:rsidP="00181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E78" w:rsidRDefault="001C5E78" w:rsidP="00FE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FB1" w:rsidRPr="00FE3FB1" w:rsidRDefault="00FE3FB1" w:rsidP="00FE3F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3FB1" w:rsidRPr="00FE3FB1" w:rsidSect="0019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432"/>
    <w:multiLevelType w:val="hybridMultilevel"/>
    <w:tmpl w:val="448C25C6"/>
    <w:lvl w:ilvl="0" w:tplc="0CD0D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00A35"/>
    <w:multiLevelType w:val="hybridMultilevel"/>
    <w:tmpl w:val="63423356"/>
    <w:lvl w:ilvl="0" w:tplc="FF5627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842"/>
    <w:rsid w:val="00034834"/>
    <w:rsid w:val="0009188E"/>
    <w:rsid w:val="000B3EFF"/>
    <w:rsid w:val="000E1088"/>
    <w:rsid w:val="00181169"/>
    <w:rsid w:val="00195927"/>
    <w:rsid w:val="001C5E78"/>
    <w:rsid w:val="001E4842"/>
    <w:rsid w:val="002E36BF"/>
    <w:rsid w:val="003529F9"/>
    <w:rsid w:val="00413367"/>
    <w:rsid w:val="00432E9C"/>
    <w:rsid w:val="00454530"/>
    <w:rsid w:val="00462D7B"/>
    <w:rsid w:val="00505258"/>
    <w:rsid w:val="00790BD1"/>
    <w:rsid w:val="00842235"/>
    <w:rsid w:val="00A3609D"/>
    <w:rsid w:val="00A74C2C"/>
    <w:rsid w:val="00A84782"/>
    <w:rsid w:val="00AA6CFC"/>
    <w:rsid w:val="00B7779C"/>
    <w:rsid w:val="00C3751B"/>
    <w:rsid w:val="00C56323"/>
    <w:rsid w:val="00D23A02"/>
    <w:rsid w:val="00E95BBC"/>
    <w:rsid w:val="00F519E0"/>
    <w:rsid w:val="00FC3F6D"/>
    <w:rsid w:val="00FE2D47"/>
    <w:rsid w:val="00FE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782"/>
    <w:pPr>
      <w:spacing w:after="200" w:line="276" w:lineRule="auto"/>
      <w:ind w:left="720"/>
      <w:contextualSpacing/>
      <w:jc w:val="both"/>
    </w:pPr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11</cp:revision>
  <dcterms:created xsi:type="dcterms:W3CDTF">2020-02-03T16:13:00Z</dcterms:created>
  <dcterms:modified xsi:type="dcterms:W3CDTF">2020-02-12T07:09:00Z</dcterms:modified>
</cp:coreProperties>
</file>