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75" w:rsidRDefault="005C0075">
      <w:pPr>
        <w:spacing w:after="200" w:line="276" w:lineRule="auto"/>
        <w:rPr>
          <w:sz w:val="28"/>
          <w:szCs w:val="28"/>
        </w:rPr>
      </w:pPr>
      <w:bookmarkStart w:id="0" w:name="_GoBack"/>
      <w:r w:rsidRPr="005C0075">
        <w:rPr>
          <w:rFonts w:eastAsia="Calibri"/>
          <w:noProof/>
          <w:sz w:val="22"/>
          <w:szCs w:val="22"/>
        </w:rPr>
        <w:drawing>
          <wp:inline distT="0" distB="0" distL="0" distR="0">
            <wp:extent cx="5879805" cy="8841868"/>
            <wp:effectExtent l="0" t="0" r="6985" b="0"/>
            <wp:docPr id="2" name="Рисунок 2" descr="I:\НА САИТ 17. 11.2015\2015-11-17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НА САИТ 17. 11.2015\2015-11-17 1\1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3" t="6517" r="7459" b="5489"/>
                    <a:stretch/>
                  </pic:blipFill>
                  <pic:spPr bwMode="auto">
                    <a:xfrm>
                      <a:off x="0" y="0"/>
                      <a:ext cx="5885570" cy="885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sz w:val="28"/>
          <w:szCs w:val="28"/>
        </w:rPr>
        <w:br w:type="page"/>
      </w:r>
    </w:p>
    <w:p w:rsidR="001A0EB2" w:rsidRPr="00635EF4" w:rsidRDefault="00A0083A" w:rsidP="00635EF4">
      <w:pPr>
        <w:numPr>
          <w:ilvl w:val="0"/>
          <w:numId w:val="1"/>
        </w:numPr>
        <w:spacing w:line="276" w:lineRule="auto"/>
        <w:jc w:val="center"/>
        <w:rPr>
          <w:sz w:val="28"/>
          <w:szCs w:val="28"/>
        </w:rPr>
      </w:pPr>
      <w:r w:rsidRPr="00635EF4">
        <w:rPr>
          <w:sz w:val="28"/>
          <w:szCs w:val="28"/>
        </w:rPr>
        <w:lastRenderedPageBreak/>
        <w:t>Общие положения</w:t>
      </w:r>
    </w:p>
    <w:p w:rsidR="00A0083A" w:rsidRPr="00635EF4" w:rsidRDefault="00A0083A" w:rsidP="00635EF4">
      <w:pPr>
        <w:spacing w:line="276" w:lineRule="auto"/>
        <w:jc w:val="both"/>
        <w:rPr>
          <w:sz w:val="28"/>
          <w:szCs w:val="28"/>
        </w:rPr>
      </w:pPr>
      <w:r w:rsidRPr="00635EF4">
        <w:rPr>
          <w:sz w:val="28"/>
          <w:szCs w:val="28"/>
        </w:rPr>
        <w:t xml:space="preserve">1.1. Настоящее Положение о стимулирующих выплатах за результативность и качественность проведения образовательного процесса (далее Положение) разработано в рамках реализации Программы поэтапного совершенствования системы оплаты труда в государственных (муниципальных) учреждениях на 2013-2018 годы, в соответствии с приказом Минтруда России от 13 мая 2013 г. № 202 «О проведении пилотного внедрения мероприятий по обеспечению взаимодействия федеральных органов исполнительной власти и органов государственной власти субъектов Российской Федерации при координации мероприятий по повышению оплаты труда отдельных категорий работников государственных (муниципальных) учреждений», Письма </w:t>
      </w:r>
      <w:proofErr w:type="spellStart"/>
      <w:r w:rsidRPr="00635EF4">
        <w:rPr>
          <w:sz w:val="28"/>
          <w:szCs w:val="28"/>
        </w:rPr>
        <w:t>Минобрнауки</w:t>
      </w:r>
      <w:proofErr w:type="spellEnd"/>
      <w:r w:rsidRPr="00635EF4">
        <w:rPr>
          <w:sz w:val="28"/>
          <w:szCs w:val="28"/>
        </w:rPr>
        <w:t xml:space="preserve"> России «О разработке показателей эффективности» от </w:t>
      </w:r>
      <w:r w:rsidR="00AC3D91">
        <w:rPr>
          <w:sz w:val="28"/>
          <w:szCs w:val="28"/>
        </w:rPr>
        <w:t>20 июня 2013 г. № АП-1073/02 .  О</w:t>
      </w:r>
      <w:r w:rsidRPr="00635EF4">
        <w:rPr>
          <w:sz w:val="28"/>
          <w:szCs w:val="28"/>
        </w:rPr>
        <w:t>пределяет критерии выплат за  качество выполняемых  работ педагогическими</w:t>
      </w:r>
      <w:r w:rsidR="00AC3D91">
        <w:rPr>
          <w:sz w:val="28"/>
          <w:szCs w:val="28"/>
        </w:rPr>
        <w:t xml:space="preserve"> работниками МБУ ДО ЦТТ</w:t>
      </w:r>
      <w:r w:rsidRPr="00635EF4">
        <w:rPr>
          <w:sz w:val="28"/>
          <w:szCs w:val="28"/>
        </w:rPr>
        <w:t xml:space="preserve"> по результатам труда за определенный отрезок времени.</w:t>
      </w:r>
    </w:p>
    <w:p w:rsidR="00A0083A" w:rsidRPr="00635EF4" w:rsidRDefault="00A0083A" w:rsidP="00635EF4">
      <w:pPr>
        <w:spacing w:line="276" w:lineRule="auto"/>
        <w:jc w:val="both"/>
        <w:rPr>
          <w:sz w:val="28"/>
          <w:szCs w:val="28"/>
        </w:rPr>
      </w:pPr>
      <w:r w:rsidRPr="00635EF4">
        <w:rPr>
          <w:sz w:val="28"/>
          <w:szCs w:val="28"/>
        </w:rPr>
        <w:t>1.2. Цель оценки результативности деятельности педагогов – обеспечение зависимости оплаты  труда от результатов работы путем объективного оценивания результатов педагогической деятельности и осуществления на их основе материального стимулирования за счет соответствующих выплат из стимулирующей части фонда оплаты труда образовательного учреждения.</w:t>
      </w:r>
    </w:p>
    <w:p w:rsidR="00A0083A" w:rsidRPr="00635EF4" w:rsidRDefault="00A0083A" w:rsidP="00635EF4">
      <w:pPr>
        <w:spacing w:line="276" w:lineRule="auto"/>
        <w:jc w:val="both"/>
        <w:rPr>
          <w:sz w:val="28"/>
          <w:szCs w:val="28"/>
        </w:rPr>
      </w:pPr>
      <w:r w:rsidRPr="00635EF4">
        <w:rPr>
          <w:sz w:val="28"/>
          <w:szCs w:val="28"/>
        </w:rPr>
        <w:t>1.3. Задачами проведения оценки результативности деятельности педагогов являются:</w:t>
      </w:r>
    </w:p>
    <w:p w:rsidR="00A0083A" w:rsidRPr="00635EF4" w:rsidRDefault="00A0083A" w:rsidP="00635EF4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35EF4">
        <w:rPr>
          <w:sz w:val="28"/>
          <w:szCs w:val="28"/>
        </w:rPr>
        <w:t>повышение качества образовательной деятельности;</w:t>
      </w:r>
    </w:p>
    <w:p w:rsidR="00A0083A" w:rsidRPr="00635EF4" w:rsidRDefault="00A0083A" w:rsidP="00635EF4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35EF4">
        <w:rPr>
          <w:sz w:val="28"/>
          <w:szCs w:val="28"/>
        </w:rPr>
        <w:t>усиление материальной заинтересованности педагогов.</w:t>
      </w:r>
    </w:p>
    <w:p w:rsidR="00A0083A" w:rsidRPr="00635EF4" w:rsidRDefault="00A0083A" w:rsidP="00635EF4">
      <w:pPr>
        <w:spacing w:line="276" w:lineRule="auto"/>
        <w:jc w:val="both"/>
        <w:rPr>
          <w:sz w:val="28"/>
          <w:szCs w:val="28"/>
        </w:rPr>
      </w:pPr>
      <w:r w:rsidRPr="00635EF4">
        <w:rPr>
          <w:sz w:val="28"/>
          <w:szCs w:val="28"/>
        </w:rPr>
        <w:t>1.4. Срок действия Положения не ограничен. Положение действует до принятия нового.</w:t>
      </w:r>
    </w:p>
    <w:p w:rsidR="00A0083A" w:rsidRPr="00635EF4" w:rsidRDefault="00A0083A" w:rsidP="00635EF4">
      <w:pPr>
        <w:numPr>
          <w:ilvl w:val="0"/>
          <w:numId w:val="1"/>
        </w:numPr>
        <w:spacing w:line="276" w:lineRule="auto"/>
        <w:jc w:val="center"/>
        <w:rPr>
          <w:sz w:val="28"/>
          <w:szCs w:val="28"/>
        </w:rPr>
      </w:pPr>
      <w:r w:rsidRPr="00635EF4">
        <w:rPr>
          <w:sz w:val="28"/>
          <w:szCs w:val="28"/>
        </w:rPr>
        <w:t>Порядок  стимулирования.</w:t>
      </w:r>
    </w:p>
    <w:p w:rsidR="00A0083A" w:rsidRPr="00635EF4" w:rsidRDefault="00A0083A" w:rsidP="00635EF4">
      <w:pPr>
        <w:spacing w:line="276" w:lineRule="auto"/>
        <w:jc w:val="both"/>
        <w:rPr>
          <w:sz w:val="28"/>
          <w:szCs w:val="28"/>
        </w:rPr>
      </w:pPr>
      <w:r w:rsidRPr="00635EF4">
        <w:rPr>
          <w:sz w:val="28"/>
          <w:szCs w:val="28"/>
        </w:rPr>
        <w:t>2.2. Основное назначение стимулирующих выплат - дифференциация оплаты труда педагога в зависимости от его качества, мотивации на позитивный (продуктивный) результат педагогической деятельности.</w:t>
      </w:r>
    </w:p>
    <w:p w:rsidR="00A0083A" w:rsidRPr="00635EF4" w:rsidRDefault="00A0083A" w:rsidP="00635EF4">
      <w:pPr>
        <w:spacing w:line="276" w:lineRule="auto"/>
        <w:rPr>
          <w:sz w:val="28"/>
          <w:szCs w:val="28"/>
        </w:rPr>
      </w:pPr>
      <w:r w:rsidRPr="00635EF4">
        <w:rPr>
          <w:sz w:val="28"/>
          <w:szCs w:val="28"/>
        </w:rPr>
        <w:t>2.1.  Стимулирующие выплаты зависят от результатов работы и выплачиваются за фактически отработанное время.</w:t>
      </w:r>
    </w:p>
    <w:p w:rsidR="00A0083A" w:rsidRPr="00635EF4" w:rsidRDefault="00A0083A" w:rsidP="00635EF4">
      <w:pPr>
        <w:spacing w:line="276" w:lineRule="auto"/>
        <w:rPr>
          <w:sz w:val="28"/>
          <w:szCs w:val="28"/>
        </w:rPr>
      </w:pPr>
      <w:r w:rsidRPr="00635EF4">
        <w:rPr>
          <w:sz w:val="28"/>
          <w:szCs w:val="28"/>
        </w:rPr>
        <w:t>2.2.  Стимулирующие выплаты устанавливаются по результатам работы за конкретный месяц в соответствующем порядке на основании разработанных критериев оценки деятельности работников, исходя из заним</w:t>
      </w:r>
      <w:r w:rsidR="00AC3D91">
        <w:rPr>
          <w:sz w:val="28"/>
          <w:szCs w:val="28"/>
        </w:rPr>
        <w:t>аемых должностей.</w:t>
      </w:r>
    </w:p>
    <w:p w:rsidR="00A0083A" w:rsidRPr="00635EF4" w:rsidRDefault="00A0083A" w:rsidP="00635EF4">
      <w:pPr>
        <w:spacing w:line="276" w:lineRule="auto"/>
        <w:rPr>
          <w:sz w:val="28"/>
          <w:szCs w:val="28"/>
        </w:rPr>
      </w:pPr>
      <w:r w:rsidRPr="00635EF4">
        <w:rPr>
          <w:sz w:val="28"/>
          <w:szCs w:val="28"/>
        </w:rPr>
        <w:t xml:space="preserve">2.3. Размер стимулирующей </w:t>
      </w:r>
      <w:proofErr w:type="gramStart"/>
      <w:r w:rsidRPr="00635EF4">
        <w:rPr>
          <w:sz w:val="28"/>
          <w:szCs w:val="28"/>
        </w:rPr>
        <w:t>выплаты</w:t>
      </w:r>
      <w:r w:rsidR="00AC3D91">
        <w:rPr>
          <w:sz w:val="28"/>
          <w:szCs w:val="28"/>
        </w:rPr>
        <w:t xml:space="preserve">  конкретного</w:t>
      </w:r>
      <w:proofErr w:type="gramEnd"/>
      <w:r w:rsidR="00AC3D91">
        <w:rPr>
          <w:sz w:val="28"/>
          <w:szCs w:val="28"/>
        </w:rPr>
        <w:t xml:space="preserve"> работника ЦТТ</w:t>
      </w:r>
      <w:r w:rsidRPr="00635EF4">
        <w:rPr>
          <w:sz w:val="28"/>
          <w:szCs w:val="28"/>
        </w:rPr>
        <w:t xml:space="preserve"> определяется умножением стоимости 1 балла  на их суммарное количество.</w:t>
      </w:r>
    </w:p>
    <w:p w:rsidR="00A0083A" w:rsidRPr="00635EF4" w:rsidRDefault="00A0083A" w:rsidP="00635EF4">
      <w:pPr>
        <w:spacing w:line="276" w:lineRule="auto"/>
        <w:rPr>
          <w:sz w:val="28"/>
          <w:szCs w:val="28"/>
        </w:rPr>
      </w:pPr>
      <w:r w:rsidRPr="00635EF4">
        <w:rPr>
          <w:sz w:val="28"/>
          <w:szCs w:val="28"/>
        </w:rPr>
        <w:lastRenderedPageBreak/>
        <w:t xml:space="preserve">2.4.  Стимулирующие выплаты работникам закрепляются приказом </w:t>
      </w:r>
      <w:r w:rsidR="00AC3D91">
        <w:rPr>
          <w:sz w:val="28"/>
          <w:szCs w:val="28"/>
        </w:rPr>
        <w:t>директора МБУ ДО ЦТТ</w:t>
      </w:r>
      <w:r w:rsidRPr="00635EF4">
        <w:rPr>
          <w:sz w:val="28"/>
          <w:szCs w:val="28"/>
        </w:rPr>
        <w:t>.</w:t>
      </w:r>
    </w:p>
    <w:p w:rsidR="001A0EB2" w:rsidRPr="00635EF4" w:rsidRDefault="001A0EB2" w:rsidP="00635EF4">
      <w:pPr>
        <w:spacing w:line="276" w:lineRule="auto"/>
        <w:rPr>
          <w:sz w:val="28"/>
          <w:szCs w:val="28"/>
        </w:rPr>
      </w:pPr>
    </w:p>
    <w:p w:rsidR="001A0EB2" w:rsidRPr="00635EF4" w:rsidRDefault="00A0083A" w:rsidP="00635EF4">
      <w:pPr>
        <w:pStyle w:val="a3"/>
        <w:numPr>
          <w:ilvl w:val="0"/>
          <w:numId w:val="1"/>
        </w:numPr>
        <w:spacing w:line="276" w:lineRule="auto"/>
        <w:jc w:val="center"/>
        <w:rPr>
          <w:sz w:val="28"/>
          <w:szCs w:val="28"/>
        </w:rPr>
      </w:pPr>
      <w:r w:rsidRPr="00635EF4">
        <w:rPr>
          <w:sz w:val="28"/>
          <w:szCs w:val="28"/>
        </w:rPr>
        <w:t>Порядок проведения оценки эффективности деятельнос</w:t>
      </w:r>
      <w:r w:rsidR="001A0EB2" w:rsidRPr="00635EF4">
        <w:rPr>
          <w:sz w:val="28"/>
          <w:szCs w:val="28"/>
        </w:rPr>
        <w:t>ти педагогических работнико</w:t>
      </w:r>
      <w:r w:rsidR="00AC3D91">
        <w:rPr>
          <w:sz w:val="28"/>
          <w:szCs w:val="28"/>
        </w:rPr>
        <w:t>в ЦТТ</w:t>
      </w:r>
      <w:r w:rsidRPr="00635EF4">
        <w:rPr>
          <w:sz w:val="28"/>
          <w:szCs w:val="28"/>
        </w:rPr>
        <w:t>.</w:t>
      </w:r>
    </w:p>
    <w:p w:rsidR="00A0083A" w:rsidRPr="00635EF4" w:rsidRDefault="00A0083A" w:rsidP="00635EF4">
      <w:pPr>
        <w:spacing w:line="276" w:lineRule="auto"/>
        <w:jc w:val="both"/>
        <w:rPr>
          <w:sz w:val="28"/>
          <w:szCs w:val="28"/>
        </w:rPr>
      </w:pPr>
      <w:r w:rsidRPr="00635EF4">
        <w:rPr>
          <w:sz w:val="28"/>
          <w:szCs w:val="28"/>
        </w:rPr>
        <w:t xml:space="preserve">3.1. Для проведения объективной внешней оценки результативности и качества проведения образовательного процесса педагогов в образовательном учреждении, приказом руководителя  по согласованию с профкомом  создается  наблюдательная комиссия, состоящая  из  представителей администрации, членов профкома. </w:t>
      </w:r>
    </w:p>
    <w:p w:rsidR="00A0083A" w:rsidRPr="00635EF4" w:rsidRDefault="00A0083A" w:rsidP="00635EF4">
      <w:pPr>
        <w:spacing w:line="276" w:lineRule="auto"/>
        <w:jc w:val="both"/>
        <w:rPr>
          <w:sz w:val="28"/>
          <w:szCs w:val="28"/>
        </w:rPr>
      </w:pPr>
      <w:r w:rsidRPr="00635EF4">
        <w:rPr>
          <w:sz w:val="28"/>
          <w:szCs w:val="28"/>
        </w:rPr>
        <w:t>3.2. Комиссия действует на основании Положения о стимулирующих выплатах за результативность и качественность проведения образовательного процесса  согласованного с профсоюзным комитетом образовательного учреждения.</w:t>
      </w:r>
    </w:p>
    <w:p w:rsidR="00A0083A" w:rsidRPr="00635EF4" w:rsidRDefault="00A0083A" w:rsidP="00635EF4">
      <w:pPr>
        <w:spacing w:line="276" w:lineRule="auto"/>
        <w:jc w:val="both"/>
        <w:rPr>
          <w:sz w:val="28"/>
          <w:szCs w:val="28"/>
        </w:rPr>
      </w:pPr>
      <w:r w:rsidRPr="00635EF4">
        <w:rPr>
          <w:sz w:val="28"/>
          <w:szCs w:val="28"/>
        </w:rPr>
        <w:t>3.3. Председатель Комиссии назначается  или избирается  сроком на 1 год и несет полную ответственность за работу Комиссии, своевременное оформление документации.</w:t>
      </w:r>
    </w:p>
    <w:p w:rsidR="00A0083A" w:rsidRPr="00635EF4" w:rsidRDefault="00A0083A" w:rsidP="00635EF4">
      <w:pPr>
        <w:spacing w:line="276" w:lineRule="auto"/>
        <w:jc w:val="both"/>
        <w:rPr>
          <w:sz w:val="28"/>
          <w:szCs w:val="28"/>
        </w:rPr>
      </w:pPr>
      <w:r w:rsidRPr="00635EF4">
        <w:rPr>
          <w:sz w:val="28"/>
          <w:szCs w:val="28"/>
        </w:rPr>
        <w:t xml:space="preserve">3.4. Результаты работы Комиссии оформляются протоколами, срок хранения которых - 5 лет. Протоколы хранятся у </w:t>
      </w:r>
      <w:r w:rsidR="00AC3D91">
        <w:rPr>
          <w:sz w:val="28"/>
          <w:szCs w:val="28"/>
        </w:rPr>
        <w:t>директора МБУ ДО ЦТТ</w:t>
      </w:r>
      <w:r w:rsidRPr="00635EF4">
        <w:rPr>
          <w:sz w:val="28"/>
          <w:szCs w:val="28"/>
        </w:rPr>
        <w:t>. Решения  Комиссии принимаются на основе открытого голосования путем подсчета простого большинства голосов.</w:t>
      </w:r>
    </w:p>
    <w:p w:rsidR="00027B0D" w:rsidRPr="00635EF4" w:rsidRDefault="00027B0D" w:rsidP="00635EF4">
      <w:pPr>
        <w:spacing w:line="276" w:lineRule="auto"/>
        <w:rPr>
          <w:sz w:val="28"/>
          <w:szCs w:val="28"/>
        </w:rPr>
      </w:pPr>
    </w:p>
    <w:sectPr w:rsidR="00027B0D" w:rsidRPr="00635EF4" w:rsidSect="00AC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866D2"/>
    <w:multiLevelType w:val="hybridMultilevel"/>
    <w:tmpl w:val="C92EA4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26D49"/>
    <w:multiLevelType w:val="hybridMultilevel"/>
    <w:tmpl w:val="93AA7DB8"/>
    <w:lvl w:ilvl="0" w:tplc="98EAC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6429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463E0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7BE196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384F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A88468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E8BE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B1AB1F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0DC14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3A"/>
    <w:rsid w:val="00027B0D"/>
    <w:rsid w:val="001A0EB2"/>
    <w:rsid w:val="002C04C6"/>
    <w:rsid w:val="005C0075"/>
    <w:rsid w:val="00635EF4"/>
    <w:rsid w:val="00A0083A"/>
    <w:rsid w:val="00AC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C321D-E103-47BE-A43D-F6369E25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EB2"/>
    <w:pPr>
      <w:ind w:left="720"/>
      <w:contextualSpacing/>
    </w:pPr>
  </w:style>
  <w:style w:type="paragraph" w:styleId="a4">
    <w:name w:val="No Spacing"/>
    <w:uiPriority w:val="1"/>
    <w:qFormat/>
    <w:rsid w:val="00AC3D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12661-1136-4658-A643-6451FBE7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VIKTOR</cp:lastModifiedBy>
  <cp:revision>7</cp:revision>
  <dcterms:created xsi:type="dcterms:W3CDTF">2013-11-19T07:27:00Z</dcterms:created>
  <dcterms:modified xsi:type="dcterms:W3CDTF">2015-11-19T08:27:00Z</dcterms:modified>
</cp:coreProperties>
</file>